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1D426A" w14:textId="77777777" w:rsidR="00267AF2" w:rsidRDefault="004D06DD" w:rsidP="00267AF2">
      <w:pPr>
        <w:pStyle w:val="Heading3"/>
      </w:pPr>
      <w:bookmarkStart w:id="0" w:name="_GoBack"/>
      <w:bookmarkEnd w:id="0"/>
      <w:r>
        <w:t>Questions fréquemment posées sur</w:t>
      </w:r>
      <w:r w:rsidR="00267AF2">
        <w:t xml:space="preserve"> la Charte humanitaire</w:t>
      </w:r>
    </w:p>
    <w:p w14:paraId="6189A8A2" w14:textId="77777777" w:rsidR="00267AF2" w:rsidRDefault="00267AF2" w:rsidP="00267AF2">
      <w:pPr>
        <w:pStyle w:val="Heading5"/>
      </w:pPr>
      <w:r>
        <w:rPr>
          <w:iCs w:val="0"/>
        </w:rPr>
        <w:t>Qu</w:t>
      </w:r>
      <w:r w:rsidR="00503BAD">
        <w:rPr>
          <w:iCs w:val="0"/>
        </w:rPr>
        <w:t>’</w:t>
      </w:r>
      <w:r>
        <w:rPr>
          <w:iCs w:val="0"/>
        </w:rPr>
        <w:t>est-ce que l</w:t>
      </w:r>
      <w:r w:rsidR="00503BAD">
        <w:rPr>
          <w:iCs w:val="0"/>
        </w:rPr>
        <w:t>’</w:t>
      </w:r>
      <w:r>
        <w:rPr>
          <w:iCs w:val="0"/>
        </w:rPr>
        <w:t>approche fondée sur les droits ?</w:t>
      </w:r>
    </w:p>
    <w:p w14:paraId="79173DAB" w14:textId="77777777" w:rsidR="00267AF2" w:rsidRDefault="00267AF2" w:rsidP="00267AF2">
      <w:r>
        <w:rPr>
          <w:bCs w:val="0"/>
        </w:rPr>
        <w:t>Lorsque se produit une crise humanitaire, des questions clés peuvent guider une approche fondée sur les droits en matière d</w:t>
      </w:r>
      <w:r w:rsidR="00503BAD">
        <w:rPr>
          <w:bCs w:val="0"/>
        </w:rPr>
        <w:t>’</w:t>
      </w:r>
      <w:r>
        <w:rPr>
          <w:bCs w:val="0"/>
        </w:rPr>
        <w:t>intervention humanitaire :</w:t>
      </w:r>
    </w:p>
    <w:p w14:paraId="0BA5BBC4" w14:textId="77777777" w:rsidR="00267AF2" w:rsidRPr="00D507F6" w:rsidRDefault="00267AF2" w:rsidP="00267AF2">
      <w:pPr>
        <w:pStyle w:val="bullet"/>
      </w:pPr>
      <w:r>
        <w:rPr>
          <w:bCs w:val="0"/>
        </w:rPr>
        <w:t>Quels sont les droits des personnes ?</w:t>
      </w:r>
    </w:p>
    <w:p w14:paraId="7020FE61" w14:textId="77777777" w:rsidR="00267AF2" w:rsidRPr="00D507F6" w:rsidRDefault="00267AF2" w:rsidP="00267AF2">
      <w:pPr>
        <w:pStyle w:val="bullet"/>
      </w:pPr>
      <w:r>
        <w:rPr>
          <w:bCs w:val="0"/>
        </w:rPr>
        <w:t>De quels droits les personnes sont-elles privées ?</w:t>
      </w:r>
    </w:p>
    <w:p w14:paraId="3CCBC793" w14:textId="77777777" w:rsidR="00267AF2" w:rsidRDefault="00267AF2" w:rsidP="00267AF2">
      <w:pPr>
        <w:pStyle w:val="bullet"/>
      </w:pPr>
      <w:r>
        <w:rPr>
          <w:bCs w:val="0"/>
        </w:rPr>
        <w:t>Quelles sont les opportunités pour changer l</w:t>
      </w:r>
      <w:r w:rsidR="00503BAD">
        <w:rPr>
          <w:bCs w:val="0"/>
        </w:rPr>
        <w:t>’</w:t>
      </w:r>
      <w:r>
        <w:rPr>
          <w:bCs w:val="0"/>
        </w:rPr>
        <w:t>accès des personnes à leurs droits</w:t>
      </w:r>
      <w:r w:rsidRPr="006D0CC6">
        <w:rPr>
          <w:rStyle w:val="FootnoteReference"/>
        </w:rPr>
        <w:footnoteReference w:id="1"/>
      </w:r>
      <w:r w:rsidR="00503BAD">
        <w:rPr>
          <w:bCs w:val="0"/>
        </w:rPr>
        <w:t> ?</w:t>
      </w:r>
    </w:p>
    <w:p w14:paraId="70B42173" w14:textId="77777777" w:rsidR="00267AF2" w:rsidRDefault="00267AF2" w:rsidP="003C27EC">
      <w:pPr>
        <w:ind w:right="-511"/>
      </w:pPr>
      <w:r>
        <w:rPr>
          <w:bCs w:val="0"/>
        </w:rPr>
        <w:t>Une approche fondée sur les droits de l</w:t>
      </w:r>
      <w:r w:rsidR="00503BAD">
        <w:rPr>
          <w:bCs w:val="0"/>
        </w:rPr>
        <w:t>’</w:t>
      </w:r>
      <w:r>
        <w:rPr>
          <w:bCs w:val="0"/>
        </w:rPr>
        <w:t>homme identifie les détenteurs de dr</w:t>
      </w:r>
      <w:r w:rsidR="00CA2260">
        <w:rPr>
          <w:bCs w:val="0"/>
        </w:rPr>
        <w:t xml:space="preserve">oits, les droits en question, </w:t>
      </w:r>
      <w:r>
        <w:rPr>
          <w:bCs w:val="0"/>
        </w:rPr>
        <w:t xml:space="preserve">les débiteurs </w:t>
      </w:r>
      <w:r w:rsidR="00CA2260">
        <w:rPr>
          <w:bCs w:val="0"/>
        </w:rPr>
        <w:t>d’</w:t>
      </w:r>
      <w:r>
        <w:rPr>
          <w:bCs w:val="0"/>
        </w:rPr>
        <w:t>obligations</w:t>
      </w:r>
      <w:r w:rsidR="00CA2260">
        <w:rPr>
          <w:bCs w:val="0"/>
        </w:rPr>
        <w:t xml:space="preserve"> et leurs devoirs</w:t>
      </w:r>
      <w:r>
        <w:rPr>
          <w:bCs w:val="0"/>
        </w:rPr>
        <w:t> ; elle s</w:t>
      </w:r>
      <w:r w:rsidR="00503BAD">
        <w:rPr>
          <w:bCs w:val="0"/>
        </w:rPr>
        <w:t>’</w:t>
      </w:r>
      <w:r>
        <w:rPr>
          <w:bCs w:val="0"/>
        </w:rPr>
        <w:t>emploie à renforcer les capacités des détenteurs de droits de faire valoir leurs revendications et de faire en sorte que les débiteurs d</w:t>
      </w:r>
      <w:r w:rsidR="00503BAD">
        <w:rPr>
          <w:bCs w:val="0"/>
        </w:rPr>
        <w:t>’</w:t>
      </w:r>
      <w:r>
        <w:rPr>
          <w:bCs w:val="0"/>
        </w:rPr>
        <w:t>obligations s</w:t>
      </w:r>
      <w:r w:rsidR="00503BAD">
        <w:rPr>
          <w:bCs w:val="0"/>
        </w:rPr>
        <w:t>’</w:t>
      </w:r>
      <w:r>
        <w:rPr>
          <w:bCs w:val="0"/>
        </w:rPr>
        <w:t>acquittent de leurs devoirs</w:t>
      </w:r>
      <w:r w:rsidR="006D0CC6">
        <w:rPr>
          <w:bCs w:val="0"/>
        </w:rPr>
        <w:t>.</w:t>
      </w:r>
      <w:r w:rsidRPr="006D0CC6">
        <w:rPr>
          <w:rStyle w:val="FootnoteReference"/>
        </w:rPr>
        <w:footnoteReference w:id="2"/>
      </w:r>
      <w:r w:rsidR="00503BAD" w:rsidRPr="004D06DD">
        <w:rPr>
          <w:bCs w:val="0"/>
          <w:vertAlign w:val="superscript"/>
        </w:rPr>
        <w:t>.</w:t>
      </w:r>
    </w:p>
    <w:p w14:paraId="49742AD1" w14:textId="77777777" w:rsidR="00267AF2" w:rsidRDefault="00267AF2" w:rsidP="00267AF2">
      <w:r>
        <w:rPr>
          <w:bCs w:val="0"/>
        </w:rPr>
        <w:t>À ce titre, la Charte humanitaire est donc une approche de l</w:t>
      </w:r>
      <w:r w:rsidR="00503BAD">
        <w:rPr>
          <w:bCs w:val="0"/>
        </w:rPr>
        <w:t>’</w:t>
      </w:r>
      <w:r>
        <w:rPr>
          <w:bCs w:val="0"/>
        </w:rPr>
        <w:t>intervention humanitaire </w:t>
      </w:r>
      <w:r w:rsidR="00CA2260">
        <w:rPr>
          <w:bCs w:val="0"/>
        </w:rPr>
        <w:t>fondée sur les droits</w:t>
      </w:r>
      <w:r>
        <w:rPr>
          <w:bCs w:val="0"/>
        </w:rPr>
        <w:t>: elle identifie les droits de la population affectée et souligne les obligations légales de l</w:t>
      </w:r>
      <w:r w:rsidR="00503BAD">
        <w:rPr>
          <w:bCs w:val="0"/>
        </w:rPr>
        <w:t>’</w:t>
      </w:r>
      <w:r>
        <w:rPr>
          <w:bCs w:val="0"/>
        </w:rPr>
        <w:t>État en qualité de premier débiteur d</w:t>
      </w:r>
      <w:r w:rsidR="00503BAD">
        <w:rPr>
          <w:bCs w:val="0"/>
        </w:rPr>
        <w:t>’</w:t>
      </w:r>
      <w:r>
        <w:rPr>
          <w:bCs w:val="0"/>
        </w:rPr>
        <w:t>obligations et le devoir éthique des agences humanitaires envers la population touchée. La Charte humanitaire peut être utilisée pour mener un plaidoyer auprès de l</w:t>
      </w:r>
      <w:r w:rsidR="00503BAD">
        <w:rPr>
          <w:bCs w:val="0"/>
        </w:rPr>
        <w:t>’</w:t>
      </w:r>
      <w:r>
        <w:rPr>
          <w:bCs w:val="0"/>
        </w:rPr>
        <w:t>État et des agences humanitaires afin qu</w:t>
      </w:r>
      <w:r w:rsidR="00503BAD">
        <w:rPr>
          <w:bCs w:val="0"/>
        </w:rPr>
        <w:t>’</w:t>
      </w:r>
      <w:r>
        <w:rPr>
          <w:bCs w:val="0"/>
        </w:rPr>
        <w:t>ils s</w:t>
      </w:r>
      <w:r w:rsidR="00503BAD">
        <w:rPr>
          <w:bCs w:val="0"/>
        </w:rPr>
        <w:t>’</w:t>
      </w:r>
      <w:r>
        <w:rPr>
          <w:bCs w:val="0"/>
        </w:rPr>
        <w:t>acquittent de leurs obligations légales et morales respectives.</w:t>
      </w:r>
    </w:p>
    <w:p w14:paraId="089B7F74" w14:textId="77777777" w:rsidR="00267AF2" w:rsidRDefault="00267AF2" w:rsidP="00267AF2">
      <w:pPr>
        <w:pStyle w:val="Heading5"/>
      </w:pPr>
      <w:r>
        <w:rPr>
          <w:iCs w:val="0"/>
        </w:rPr>
        <w:t>La Charte humanitaire est une approche fondée sur les droits mais elle souligne aussi que l</w:t>
      </w:r>
      <w:r w:rsidR="00503BAD">
        <w:rPr>
          <w:iCs w:val="0"/>
        </w:rPr>
        <w:t>’</w:t>
      </w:r>
      <w:r>
        <w:rPr>
          <w:iCs w:val="0"/>
        </w:rPr>
        <w:t>assistance sera fournie en fonction des besoins et proportionnellement à ceux-ci. Les deux approches sont-elles compatibles ?</w:t>
      </w:r>
    </w:p>
    <w:p w14:paraId="50752B5A" w14:textId="77777777" w:rsidR="00267AF2" w:rsidRDefault="00267AF2" w:rsidP="00267AF2">
      <w:r>
        <w:rPr>
          <w:bCs w:val="0"/>
        </w:rPr>
        <w:t>Si la dichotomie entre l</w:t>
      </w:r>
      <w:r w:rsidR="00503BAD">
        <w:rPr>
          <w:bCs w:val="0"/>
        </w:rPr>
        <w:t>’</w:t>
      </w:r>
      <w:r>
        <w:rPr>
          <w:bCs w:val="0"/>
        </w:rPr>
        <w:t>approche fondée sur les droits et l</w:t>
      </w:r>
      <w:r w:rsidR="00503BAD">
        <w:rPr>
          <w:bCs w:val="0"/>
        </w:rPr>
        <w:t>’</w:t>
      </w:r>
      <w:r>
        <w:rPr>
          <w:bCs w:val="0"/>
        </w:rPr>
        <w:t>approche basée sur les besoins a été fréquemment soulignée, les déclarations relatives aux besoins et celles relatives aux droits sont d</w:t>
      </w:r>
      <w:r w:rsidR="00503BAD">
        <w:rPr>
          <w:bCs w:val="0"/>
        </w:rPr>
        <w:t>’</w:t>
      </w:r>
      <w:r>
        <w:rPr>
          <w:bCs w:val="0"/>
        </w:rPr>
        <w:t>une nature très différente – mais les deux n</w:t>
      </w:r>
      <w:r w:rsidR="00503BAD">
        <w:rPr>
          <w:bCs w:val="0"/>
        </w:rPr>
        <w:t>’</w:t>
      </w:r>
      <w:r>
        <w:rPr>
          <w:bCs w:val="0"/>
        </w:rPr>
        <w:t>ont absolument rien d</w:t>
      </w:r>
      <w:r w:rsidR="00503BAD">
        <w:rPr>
          <w:bCs w:val="0"/>
        </w:rPr>
        <w:t>’</w:t>
      </w:r>
      <w:r>
        <w:rPr>
          <w:bCs w:val="0"/>
        </w:rPr>
        <w:t>incompatible pour autant. « Une déclaration relative au besoin (ou, mieux, au risque) peut se révéler essentielle pour définir le « contenu » de la programmation, et elle est à elle seule de valeur neutre, et ne constitue pas une déclaration éthique. Une déclaration relative aux droits implique une revendication morale (et peut-être juridique) à propos des droits, et elle est tout aussi significative pour son identification des responsabilités associées que pour la revendication des droits elle-même. Le Projet Sphère tente d</w:t>
      </w:r>
      <w:r w:rsidR="00503BAD">
        <w:rPr>
          <w:bCs w:val="0"/>
        </w:rPr>
        <w:t>’</w:t>
      </w:r>
      <w:r>
        <w:rPr>
          <w:bCs w:val="0"/>
        </w:rPr>
        <w:t>unir les deux et d</w:t>
      </w:r>
      <w:r w:rsidR="00503BAD">
        <w:rPr>
          <w:bCs w:val="0"/>
        </w:rPr>
        <w:t>’</w:t>
      </w:r>
      <w:r>
        <w:rPr>
          <w:bCs w:val="0"/>
        </w:rPr>
        <w:t>allier la force morale/juridique des déclarations de droits à la spécificité des déclarations de besoins. »</w:t>
      </w:r>
      <w:r w:rsidRPr="006D0CC6">
        <w:rPr>
          <w:rStyle w:val="FootnoteReference"/>
        </w:rPr>
        <w:footnoteReference w:id="3"/>
      </w:r>
    </w:p>
    <w:p w14:paraId="3A0D0DF6" w14:textId="77777777" w:rsidR="00267AF2" w:rsidRDefault="00267AF2" w:rsidP="00267AF2">
      <w:pPr>
        <w:pStyle w:val="Heading5"/>
      </w:pPr>
      <w:r>
        <w:rPr>
          <w:iCs w:val="0"/>
        </w:rPr>
        <w:t>Pourquoi la neutralité ne figure-t-elle pas au rang des principes éthiques de la Charte humanitaire ?</w:t>
      </w:r>
    </w:p>
    <w:p w14:paraId="21DD7049" w14:textId="77777777" w:rsidR="00267AF2" w:rsidRDefault="00267AF2" w:rsidP="00267AF2">
      <w:r>
        <w:rPr>
          <w:bCs w:val="0"/>
        </w:rPr>
        <w:t>Parce que la neutralité fait avant tout référence à une position prise vis-à-vis des parties à un conflit armé. Si les agences humanitaires s</w:t>
      </w:r>
      <w:r w:rsidR="00503BAD">
        <w:rPr>
          <w:bCs w:val="0"/>
        </w:rPr>
        <w:t>’</w:t>
      </w:r>
      <w:r>
        <w:rPr>
          <w:bCs w:val="0"/>
        </w:rPr>
        <w:t>accordent pour dire que l</w:t>
      </w:r>
      <w:r w:rsidR="00503BAD">
        <w:rPr>
          <w:bCs w:val="0"/>
        </w:rPr>
        <w:t>’</w:t>
      </w:r>
      <w:r>
        <w:rPr>
          <w:bCs w:val="0"/>
        </w:rPr>
        <w:t>assistance doit être impartiale et qu</w:t>
      </w:r>
      <w:r w:rsidR="00503BAD">
        <w:rPr>
          <w:bCs w:val="0"/>
        </w:rPr>
        <w:t>’</w:t>
      </w:r>
      <w:r>
        <w:rPr>
          <w:bCs w:val="0"/>
        </w:rPr>
        <w:t>elles ont besoin d</w:t>
      </w:r>
      <w:r w:rsidR="00503BAD">
        <w:rPr>
          <w:bCs w:val="0"/>
        </w:rPr>
        <w:t>’</w:t>
      </w:r>
      <w:r>
        <w:rPr>
          <w:bCs w:val="0"/>
        </w:rPr>
        <w:t>être indépendantes de tout gouvernement et de tout groupe d</w:t>
      </w:r>
      <w:r w:rsidR="00503BAD">
        <w:rPr>
          <w:bCs w:val="0"/>
        </w:rPr>
        <w:t>’</w:t>
      </w:r>
      <w:r>
        <w:rPr>
          <w:bCs w:val="0"/>
        </w:rPr>
        <w:t>intérêt, elles veulent souvent se mobiliser dans des campagnes et dans un activisme qui ne sont pas nécessairement neutres, au sens strict du terme. Le mot « non partisan » capture bien l</w:t>
      </w:r>
      <w:r w:rsidR="00503BAD">
        <w:rPr>
          <w:bCs w:val="0"/>
        </w:rPr>
        <w:t>’</w:t>
      </w:r>
      <w:r>
        <w:rPr>
          <w:bCs w:val="0"/>
        </w:rPr>
        <w:t>idée que les agences n</w:t>
      </w:r>
      <w:r w:rsidR="00503BAD">
        <w:rPr>
          <w:bCs w:val="0"/>
        </w:rPr>
        <w:t>’</w:t>
      </w:r>
      <w:r>
        <w:rPr>
          <w:bCs w:val="0"/>
        </w:rPr>
        <w:t>auront pas d</w:t>
      </w:r>
      <w:r w:rsidR="00503BAD">
        <w:rPr>
          <w:bCs w:val="0"/>
        </w:rPr>
        <w:t>’</w:t>
      </w:r>
      <w:r>
        <w:rPr>
          <w:bCs w:val="0"/>
        </w:rPr>
        <w:t>allégeance à un parti politique mais elles ne seront pas tenues d</w:t>
      </w:r>
      <w:r w:rsidR="00503BAD">
        <w:rPr>
          <w:bCs w:val="0"/>
        </w:rPr>
        <w:t>’</w:t>
      </w:r>
      <w:r>
        <w:rPr>
          <w:bCs w:val="0"/>
        </w:rPr>
        <w:t>adopter une position neutre si, par exemple, une partie à un conflit refuse systématiquement l</w:t>
      </w:r>
      <w:r w:rsidR="00503BAD">
        <w:rPr>
          <w:bCs w:val="0"/>
        </w:rPr>
        <w:t>’</w:t>
      </w:r>
      <w:r>
        <w:rPr>
          <w:bCs w:val="0"/>
        </w:rPr>
        <w:t>accès à l</w:t>
      </w:r>
      <w:r w:rsidR="00503BAD">
        <w:rPr>
          <w:bCs w:val="0"/>
        </w:rPr>
        <w:t>’</w:t>
      </w:r>
      <w:r>
        <w:rPr>
          <w:bCs w:val="0"/>
        </w:rPr>
        <w:t>aide humanitaire et/ou commet activement d</w:t>
      </w:r>
      <w:r w:rsidR="00503BAD">
        <w:rPr>
          <w:bCs w:val="0"/>
        </w:rPr>
        <w:t>’</w:t>
      </w:r>
      <w:r>
        <w:rPr>
          <w:bCs w:val="0"/>
        </w:rPr>
        <w:t xml:space="preserve">autres violations </w:t>
      </w:r>
      <w:proofErr w:type="gramStart"/>
      <w:r>
        <w:rPr>
          <w:bCs w:val="0"/>
        </w:rPr>
        <w:t>des</w:t>
      </w:r>
      <w:proofErr w:type="gramEnd"/>
      <w:r>
        <w:rPr>
          <w:bCs w:val="0"/>
        </w:rPr>
        <w:t xml:space="preserve"> droits de l</w:t>
      </w:r>
      <w:r w:rsidR="00503BAD">
        <w:rPr>
          <w:bCs w:val="0"/>
        </w:rPr>
        <w:t>’</w:t>
      </w:r>
      <w:r>
        <w:rPr>
          <w:bCs w:val="0"/>
        </w:rPr>
        <w:t>homme.</w:t>
      </w:r>
    </w:p>
    <w:p w14:paraId="472952CC" w14:textId="77777777" w:rsidR="00267AF2" w:rsidRPr="00D507F6" w:rsidRDefault="00267AF2" w:rsidP="00267AF2">
      <w:pPr>
        <w:pStyle w:val="Heading5"/>
      </w:pPr>
      <w:r>
        <w:rPr>
          <w:iCs w:val="0"/>
        </w:rPr>
        <w:t>Quelle est la différence entre l</w:t>
      </w:r>
      <w:r w:rsidR="00503BAD">
        <w:rPr>
          <w:iCs w:val="0"/>
        </w:rPr>
        <w:t>’</w:t>
      </w:r>
      <w:r>
        <w:rPr>
          <w:iCs w:val="0"/>
        </w:rPr>
        <w:t>impartialité et la non-discrimination ?</w:t>
      </w:r>
    </w:p>
    <w:p w14:paraId="175A3161" w14:textId="77777777" w:rsidR="00267AF2" w:rsidRPr="00D507F6" w:rsidRDefault="00267AF2" w:rsidP="00267AF2">
      <w:r>
        <w:rPr>
          <w:bCs w:val="0"/>
        </w:rPr>
        <w:t>Si les notions d</w:t>
      </w:r>
      <w:r w:rsidR="00503BAD">
        <w:rPr>
          <w:bCs w:val="0"/>
        </w:rPr>
        <w:t>’</w:t>
      </w:r>
      <w:r>
        <w:rPr>
          <w:bCs w:val="0"/>
        </w:rPr>
        <w:t>impartialité et de non-discrimination sont clairement définies, Jean Pictet, spécialiste des principes de la Croix-Rouge, distingue pour sa part trois notions dans le principe d</w:t>
      </w:r>
      <w:r w:rsidR="00503BAD">
        <w:rPr>
          <w:bCs w:val="0"/>
        </w:rPr>
        <w:t>’</w:t>
      </w:r>
      <w:r>
        <w:rPr>
          <w:bCs w:val="0"/>
        </w:rPr>
        <w:t>impartialité : non-discrimination, proportionnalité et impartialité proprement dite.</w:t>
      </w:r>
    </w:p>
    <w:p w14:paraId="7A2524D6" w14:textId="77777777" w:rsidR="00700614" w:rsidRDefault="00267AF2" w:rsidP="00267AF2">
      <w:pPr>
        <w:rPr>
          <w:bCs w:val="0"/>
        </w:rPr>
      </w:pPr>
      <w:r>
        <w:rPr>
          <w:bCs w:val="0"/>
        </w:rPr>
        <w:t>La non-discrimination est l</w:t>
      </w:r>
      <w:r w:rsidR="00503BAD">
        <w:rPr>
          <w:bCs w:val="0"/>
        </w:rPr>
        <w:t>’</w:t>
      </w:r>
      <w:r>
        <w:rPr>
          <w:bCs w:val="0"/>
        </w:rPr>
        <w:t>absence de toute discrimination objective motivée par la race, l</w:t>
      </w:r>
      <w:r w:rsidR="00503BAD">
        <w:rPr>
          <w:bCs w:val="0"/>
        </w:rPr>
        <w:t>’</w:t>
      </w:r>
      <w:r>
        <w:rPr>
          <w:bCs w:val="0"/>
        </w:rPr>
        <w:t>appartenance politique, la conviction religieuse, etc. La proportionnalité implique que toute personne qui a besoin d</w:t>
      </w:r>
      <w:r w:rsidR="00503BAD">
        <w:rPr>
          <w:bCs w:val="0"/>
        </w:rPr>
        <w:t>’</w:t>
      </w:r>
      <w:r>
        <w:rPr>
          <w:bCs w:val="0"/>
        </w:rPr>
        <w:t>assistance en recevra selon ses besoins et l</w:t>
      </w:r>
      <w:r w:rsidR="00503BAD">
        <w:rPr>
          <w:bCs w:val="0"/>
        </w:rPr>
        <w:t>’</w:t>
      </w:r>
      <w:r>
        <w:rPr>
          <w:bCs w:val="0"/>
        </w:rPr>
        <w:t>impartialité exige qu</w:t>
      </w:r>
      <w:r w:rsidR="00503BAD">
        <w:rPr>
          <w:bCs w:val="0"/>
        </w:rPr>
        <w:t>’</w:t>
      </w:r>
      <w:r>
        <w:rPr>
          <w:bCs w:val="0"/>
        </w:rPr>
        <w:t>il ne soit fait aucune distinction</w:t>
      </w:r>
      <w:r w:rsidR="0080542F">
        <w:rPr>
          <w:bCs w:val="0"/>
        </w:rPr>
        <w:t xml:space="preserve"> </w:t>
      </w:r>
      <w:r>
        <w:rPr>
          <w:bCs w:val="0"/>
        </w:rPr>
        <w:t>subjective entre ceux qui souffrent : tous ont le droit d</w:t>
      </w:r>
      <w:r w:rsidR="00503BAD">
        <w:rPr>
          <w:bCs w:val="0"/>
        </w:rPr>
        <w:t>’</w:t>
      </w:r>
      <w:r>
        <w:rPr>
          <w:bCs w:val="0"/>
        </w:rPr>
        <w:t>être aidés, qu</w:t>
      </w:r>
      <w:r w:rsidR="00503BAD">
        <w:rPr>
          <w:bCs w:val="0"/>
        </w:rPr>
        <w:t>’</w:t>
      </w:r>
      <w:r>
        <w:rPr>
          <w:bCs w:val="0"/>
        </w:rPr>
        <w:t>ils soient d</w:t>
      </w:r>
      <w:r w:rsidR="00503BAD">
        <w:rPr>
          <w:bCs w:val="0"/>
        </w:rPr>
        <w:t>’</w:t>
      </w:r>
      <w:r>
        <w:rPr>
          <w:bCs w:val="0"/>
        </w:rPr>
        <w:t>innocentes victimes ou des personnes responsables d</w:t>
      </w:r>
      <w:r w:rsidR="00503BAD">
        <w:rPr>
          <w:bCs w:val="0"/>
        </w:rPr>
        <w:t>’</w:t>
      </w:r>
      <w:r>
        <w:rPr>
          <w:bCs w:val="0"/>
        </w:rPr>
        <w:t>anciens crimes.</w:t>
      </w:r>
    </w:p>
    <w:p w14:paraId="1B180EB8" w14:textId="77777777" w:rsidR="00A22040" w:rsidRDefault="00A22040" w:rsidP="00267AF2">
      <w:pPr>
        <w:rPr>
          <w:bCs w:val="0"/>
        </w:rPr>
      </w:pPr>
    </w:p>
    <w:p w14:paraId="6EB9178D" w14:textId="77777777" w:rsidR="00A22040" w:rsidRDefault="00A22040" w:rsidP="00267AF2">
      <w:pPr>
        <w:sectPr w:rsidR="00A22040" w:rsidSect="00F516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1418" w:right="1247" w:bottom="851" w:left="1247" w:header="709" w:footer="454" w:gutter="0"/>
          <w:cols w:space="720"/>
          <w:titlePg/>
          <w:docGrid w:linePitch="360"/>
        </w:sectPr>
      </w:pPr>
    </w:p>
    <w:p w14:paraId="57D8778B" w14:textId="7A77CC2A" w:rsidR="00A22040" w:rsidRDefault="00A22040">
      <w:pPr>
        <w:spacing w:before="0"/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D498C" wp14:editId="3FBE9C4F">
                <wp:simplePos x="0" y="0"/>
                <wp:positionH relativeFrom="column">
                  <wp:posOffset>7928610</wp:posOffset>
                </wp:positionH>
                <wp:positionV relativeFrom="paragraph">
                  <wp:posOffset>5185410</wp:posOffset>
                </wp:positionV>
                <wp:extent cx="1397000" cy="8128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7000" cy="81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7A70B" w14:textId="77777777" w:rsidR="00715B1F" w:rsidRPr="00A22040" w:rsidRDefault="00715B1F" w:rsidP="00715B1F">
                            <w:pPr>
                              <w:spacing w:before="0"/>
                              <w:jc w:val="right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22040">
                              <w:rPr>
                                <w:i/>
                                <w:sz w:val="20"/>
                                <w:szCs w:val="20"/>
                              </w:rPr>
                              <w:t>Source : adapté du cours du CICR sur le droit international humanitaire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4D498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624.3pt;margin-top:408.3pt;width:110pt;height:6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" filled="f" stroked="f">
                <v:textbox>
                  <w:txbxContent>
                    <w:p w14:paraId="7497A70B" w14:textId="77777777" w:rsidR="00715B1F" w:rsidRPr="00A22040" w:rsidRDefault="00715B1F" w:rsidP="00715B1F">
                      <w:pPr>
                        <w:spacing w:before="0"/>
                        <w:jc w:val="right"/>
                        <w:rPr>
                          <w:i/>
                          <w:sz w:val="20"/>
                          <w:szCs w:val="20"/>
                        </w:rPr>
                      </w:pPr>
                      <w:r w:rsidRPr="00A22040">
                        <w:rPr>
                          <w:i/>
                          <w:sz w:val="20"/>
                          <w:szCs w:val="20"/>
                        </w:rPr>
                        <w:t>Source : adapté du cours du CICR sur le droit international humanitaire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22040"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6A97AEB2" wp14:editId="5270E9DF">
            <wp:simplePos x="0" y="0"/>
            <wp:positionH relativeFrom="column">
              <wp:posOffset>-59690</wp:posOffset>
            </wp:positionH>
            <wp:positionV relativeFrom="paragraph">
              <wp:posOffset>169545</wp:posOffset>
            </wp:positionV>
            <wp:extent cx="8900795" cy="6083300"/>
            <wp:effectExtent l="0" t="0" r="0" b="1270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0795" cy="60833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7E031455" w14:textId="312E1891" w:rsidR="0052647A" w:rsidRDefault="0052647A" w:rsidP="00A22040"/>
    <w:p w14:paraId="573004FA" w14:textId="50713297" w:rsidR="0052647A" w:rsidRDefault="00A22040" w:rsidP="00A22040">
      <w:r>
        <w:rPr>
          <w:noProof/>
          <w:lang w:val="en-GB" w:eastAsia="en-GB"/>
        </w:rPr>
        <w:drawing>
          <wp:anchor distT="0" distB="0" distL="114300" distR="114300" simplePos="0" relativeHeight="251661312" behindDoc="0" locked="0" layoutInCell="1" allowOverlap="1" wp14:anchorId="67567017" wp14:editId="0CA951EB">
            <wp:simplePos x="0" y="0"/>
            <wp:positionH relativeFrom="column">
              <wp:posOffset>41910</wp:posOffset>
            </wp:positionH>
            <wp:positionV relativeFrom="paragraph">
              <wp:posOffset>110490</wp:posOffset>
            </wp:positionV>
            <wp:extent cx="8420100" cy="5422900"/>
            <wp:effectExtent l="0" t="0" r="12700" b="1270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0100" cy="542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3BCDA6" w14:textId="4D808822" w:rsidR="00715B1F" w:rsidRPr="00A22040" w:rsidRDefault="00715B1F" w:rsidP="00A22040">
      <w:pPr>
        <w:spacing w:before="8800"/>
        <w:jc w:val="right"/>
        <w:rPr>
          <w:i/>
          <w:sz w:val="20"/>
          <w:szCs w:val="20"/>
        </w:rPr>
      </w:pPr>
      <w:r w:rsidRPr="00A22040">
        <w:rPr>
          <w:i/>
          <w:sz w:val="20"/>
          <w:szCs w:val="20"/>
        </w:rPr>
        <w:t>Source : adapté du cours du CICR sur le droit international humanitaire</w:t>
      </w:r>
    </w:p>
    <w:sectPr w:rsidR="00715B1F" w:rsidRPr="00A22040" w:rsidSect="0052647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40" w:h="11901" w:orient="landscape"/>
      <w:pgMar w:top="1134" w:right="1134" w:bottom="567" w:left="1134" w:header="709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0C2E4" w14:textId="77777777" w:rsidR="0064034C" w:rsidRDefault="0064034C" w:rsidP="002848CC">
      <w:pPr>
        <w:spacing w:before="0"/>
      </w:pPr>
      <w:r>
        <w:separator/>
      </w:r>
    </w:p>
  </w:endnote>
  <w:endnote w:type="continuationSeparator" w:id="0">
    <w:p w14:paraId="1315F03D" w14:textId="77777777" w:rsidR="0064034C" w:rsidRDefault="0064034C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07FBF" w14:textId="77777777" w:rsidR="006D0CC6" w:rsidRPr="004F1D9A" w:rsidRDefault="006D0CC6" w:rsidP="00F51600">
    <w:pPr>
      <w:pStyle w:val="Footer"/>
    </w:pPr>
    <w:r>
      <w:rPr>
        <w:bCs w:val="0"/>
      </w:rPr>
      <w:t xml:space="preserve">Module A9 – Sphère et la Charte humanitaire </w:t>
    </w:r>
    <w:r>
      <w:rPr>
        <w:bCs w:val="0"/>
      </w:rPr>
      <w:tab/>
      <w:t>Pack de formation Sphère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36F0E" w14:textId="77777777" w:rsidR="006D0CC6" w:rsidRPr="00F51600" w:rsidRDefault="006D0CC6" w:rsidP="00F51600">
    <w:pPr>
      <w:pStyle w:val="Footer"/>
    </w:pPr>
    <w:r>
      <w:rPr>
        <w:bCs w:val="0"/>
      </w:rPr>
      <w:t xml:space="preserve">Module A9 – Sphère et la Charte humanitaire </w:t>
    </w:r>
    <w:r>
      <w:rPr>
        <w:bCs w:val="0"/>
      </w:rPr>
      <w:tab/>
      <w:t>Pack de formation Sphère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EB396" w14:textId="77777777" w:rsidR="006D0CC6" w:rsidRPr="00F51600" w:rsidRDefault="006D0CC6" w:rsidP="00891199">
    <w:pPr>
      <w:pStyle w:val="Footer"/>
    </w:pPr>
    <w:r>
      <w:rPr>
        <w:bCs w:val="0"/>
      </w:rPr>
      <w:t xml:space="preserve">Module A9 – Sphère et la Charte humanitaire </w:t>
    </w:r>
    <w:r>
      <w:rPr>
        <w:bCs w:val="0"/>
      </w:rPr>
      <w:tab/>
      <w:t>Pack de formation Sphère 2015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0A68F" w14:textId="77777777" w:rsidR="006D0CC6" w:rsidRPr="0052647A" w:rsidRDefault="006D0CC6" w:rsidP="0052647A">
    <w:pPr>
      <w:pStyle w:val="Footer"/>
      <w:tabs>
        <w:tab w:val="clear" w:pos="9356"/>
        <w:tab w:val="right" w:pos="14459"/>
      </w:tabs>
    </w:pPr>
    <w:r>
      <w:rPr>
        <w:bCs w:val="0"/>
      </w:rPr>
      <w:t xml:space="preserve">Module A9 – Sphère et la Charte humanitaire </w:t>
    </w:r>
    <w:r>
      <w:rPr>
        <w:bCs w:val="0"/>
      </w:rPr>
      <w:tab/>
      <w:t>Pack de formation Sphère 2015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B44AD" w14:textId="77777777" w:rsidR="006D0CC6" w:rsidRPr="00F51600" w:rsidRDefault="006D0CC6" w:rsidP="0052647A">
    <w:pPr>
      <w:pStyle w:val="Footer"/>
      <w:tabs>
        <w:tab w:val="clear" w:pos="9356"/>
        <w:tab w:val="right" w:pos="14459"/>
      </w:tabs>
    </w:pPr>
    <w:r>
      <w:rPr>
        <w:bCs w:val="0"/>
      </w:rPr>
      <w:t xml:space="preserve">Module A9 – Sphère et la Charte humanitaire </w:t>
    </w:r>
    <w:r>
      <w:rPr>
        <w:bCs w:val="0"/>
      </w:rPr>
      <w:tab/>
      <w:t>Pack de formation Sphère 2015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3A61B" w14:textId="77777777" w:rsidR="006D0CC6" w:rsidRPr="00F51600" w:rsidRDefault="006D0CC6" w:rsidP="00700614">
    <w:pPr>
      <w:pStyle w:val="Footer"/>
      <w:tabs>
        <w:tab w:val="clear" w:pos="9356"/>
        <w:tab w:val="right" w:pos="14459"/>
      </w:tabs>
    </w:pPr>
    <w:r>
      <w:rPr>
        <w:bCs w:val="0"/>
      </w:rPr>
      <w:t xml:space="preserve">Module A9 – Sphère et la Charte humanitaire </w:t>
    </w:r>
    <w:r>
      <w:rPr>
        <w:bCs w:val="0"/>
      </w:rPr>
      <w:tab/>
      <w:t>Pack de formation Sphère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0850A" w14:textId="77777777" w:rsidR="0064034C" w:rsidRDefault="0064034C" w:rsidP="002848CC">
      <w:pPr>
        <w:spacing w:before="0"/>
      </w:pPr>
      <w:r>
        <w:separator/>
      </w:r>
    </w:p>
  </w:footnote>
  <w:footnote w:type="continuationSeparator" w:id="0">
    <w:p w14:paraId="721C8C51" w14:textId="77777777" w:rsidR="0064034C" w:rsidRDefault="0064034C" w:rsidP="002848CC">
      <w:pPr>
        <w:spacing w:before="0"/>
      </w:pPr>
      <w:r>
        <w:continuationSeparator/>
      </w:r>
    </w:p>
  </w:footnote>
  <w:footnote w:id="1">
    <w:p w14:paraId="5DCECFB1" w14:textId="77777777" w:rsidR="006D0CC6" w:rsidRDefault="006D0CC6" w:rsidP="00267AF2">
      <w:pPr>
        <w:pStyle w:val="FootnoteText"/>
      </w:pPr>
      <w:r>
        <w:rPr>
          <w:rStyle w:val="FootnoteReference"/>
        </w:rPr>
        <w:footnoteRef/>
      </w:r>
      <w:r>
        <w:t xml:space="preserve"> Extrait d'Action </w:t>
      </w:r>
      <w:proofErr w:type="spellStart"/>
      <w:r>
        <w:t>Aid</w:t>
      </w:r>
      <w:proofErr w:type="spellEnd"/>
      <w:r>
        <w:t xml:space="preserve"> « The </w:t>
      </w:r>
      <w:proofErr w:type="spellStart"/>
      <w:r>
        <w:t>rights-based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to emergencies: A </w:t>
      </w:r>
      <w:proofErr w:type="spellStart"/>
      <w:r>
        <w:t>Beginners</w:t>
      </w:r>
      <w:proofErr w:type="spellEnd"/>
      <w:r>
        <w:t>’ Guide »</w:t>
      </w:r>
    </w:p>
  </w:footnote>
  <w:footnote w:id="2">
    <w:p w14:paraId="62029191" w14:textId="77777777" w:rsidR="006D0CC6" w:rsidRPr="006B5A6D" w:rsidRDefault="006D0CC6" w:rsidP="00267AF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www.ohchr.org/Documents/Publications/FAQfr.pdf</w:t>
        </w:r>
      </w:hyperlink>
      <w:r>
        <w:rPr>
          <w:rStyle w:val="Hyperlink"/>
        </w:rPr>
        <w:t>,</w:t>
      </w:r>
      <w:r>
        <w:t xml:space="preserve"> page 15</w:t>
      </w:r>
    </w:p>
  </w:footnote>
  <w:footnote w:id="3">
    <w:p w14:paraId="17974078" w14:textId="77777777" w:rsidR="006D0CC6" w:rsidRDefault="006D0CC6" w:rsidP="00267AF2">
      <w:pPr>
        <w:pStyle w:val="FootnoteText"/>
      </w:pPr>
      <w:r>
        <w:rPr>
          <w:rStyle w:val="FootnoteReference"/>
        </w:rPr>
        <w:footnoteRef/>
      </w:r>
      <w:r>
        <w:t xml:space="preserve"> Darcy &amp; Hofmann, « </w:t>
      </w:r>
      <w:proofErr w:type="spellStart"/>
      <w:r>
        <w:t>According</w:t>
      </w:r>
      <w:proofErr w:type="spellEnd"/>
      <w:r>
        <w:t xml:space="preserve"> to </w:t>
      </w:r>
      <w:proofErr w:type="spellStart"/>
      <w:r>
        <w:t>need</w:t>
      </w:r>
      <w:proofErr w:type="spellEnd"/>
      <w:r>
        <w:t xml:space="preserve">? </w:t>
      </w:r>
      <w:proofErr w:type="spellStart"/>
      <w:r>
        <w:t>Needs</w:t>
      </w:r>
      <w:proofErr w:type="spellEnd"/>
      <w:r>
        <w:t xml:space="preserve"> </w:t>
      </w:r>
      <w:proofErr w:type="spellStart"/>
      <w:r>
        <w:t>assessment</w:t>
      </w:r>
      <w:proofErr w:type="spellEnd"/>
      <w:r>
        <w:t xml:space="preserve"> and </w:t>
      </w:r>
      <w:proofErr w:type="spellStart"/>
      <w:r>
        <w:t>decision-making</w:t>
      </w:r>
      <w:proofErr w:type="spellEnd"/>
      <w:r>
        <w:t xml:space="preserve"> in the </w:t>
      </w:r>
      <w:proofErr w:type="spellStart"/>
      <w:r>
        <w:t>humanitarian</w:t>
      </w:r>
      <w:proofErr w:type="spellEnd"/>
      <w:r>
        <w:t xml:space="preserve"> </w:t>
      </w:r>
      <w:proofErr w:type="spellStart"/>
      <w:r>
        <w:t>sector</w:t>
      </w:r>
      <w:proofErr w:type="spellEnd"/>
      <w:r>
        <w:t> », HPG report 15, septembre 2003, p. 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4169D" w14:textId="77777777" w:rsidR="006D0CC6" w:rsidRPr="004F1D9A" w:rsidRDefault="006D0CC6" w:rsidP="00891199">
    <w:pPr>
      <w:pStyle w:val="Header"/>
    </w:pPr>
    <w:r>
      <w:rPr>
        <w:b w:val="0"/>
        <w:bCs w:val="0"/>
      </w:rPr>
      <w:tab/>
    </w:r>
    <w:r>
      <w:t>Fiches à distribuer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E6826" w14:textId="77777777" w:rsidR="006D0CC6" w:rsidRPr="00175CA3" w:rsidRDefault="006D0CC6" w:rsidP="00891199">
    <w:pPr>
      <w:pStyle w:val="Header"/>
    </w:pPr>
    <w:r>
      <w:t>Fiches à distribuer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C3A5C" w14:textId="77777777" w:rsidR="006D0CC6" w:rsidRPr="003E013F" w:rsidRDefault="006D0CC6" w:rsidP="00F51600">
    <w:pPr>
      <w:pStyle w:val="Heading1"/>
    </w:pPr>
    <w:r>
      <w:t xml:space="preserve">Module A9 – Sphère et la Charte humanitaire </w:t>
    </w:r>
    <w:r>
      <w:tab/>
    </w:r>
    <w:r w:rsidRPr="000F6307">
      <w:rPr>
        <w:color w:val="579305"/>
        <w:szCs w:val="28"/>
      </w:rPr>
      <w:t>Fiches à distribuer</w:t>
    </w:r>
  </w:p>
  <w:p w14:paraId="7B579736" w14:textId="147D445D" w:rsidR="006D0CC6" w:rsidRPr="000F6307" w:rsidRDefault="000F6307" w:rsidP="001356C7">
    <w:pPr>
      <w:pStyle w:val="Heading2"/>
      <w:pBdr>
        <w:bottom w:val="single" w:sz="4" w:space="4" w:color="004386"/>
      </w:pBdr>
      <w:spacing w:after="0"/>
      <w:rPr>
        <w:bCs w:val="0"/>
        <w:iCs/>
      </w:rPr>
    </w:pPr>
    <w:r>
      <w:rPr>
        <w:bCs w:val="0"/>
        <w:iCs/>
      </w:rPr>
      <w:t xml:space="preserve">Pourquoi et comment devriez-vous </w:t>
    </w:r>
    <w:r w:rsidR="006D0CC6">
      <w:rPr>
        <w:bCs w:val="0"/>
        <w:iCs/>
      </w:rPr>
      <w:t>faire référence</w:t>
    </w:r>
    <w:r>
      <w:rPr>
        <w:bCs w:val="0"/>
        <w:iCs/>
      </w:rPr>
      <w:t xml:space="preserve"> à la Charte humanitaire </w:t>
    </w:r>
    <w:r w:rsidR="006D0CC6">
      <w:rPr>
        <w:bCs w:val="0"/>
        <w:iCs/>
      </w:rPr>
      <w:t>dans votre travail ?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79A64" w14:textId="77777777" w:rsidR="006D0CC6" w:rsidRPr="0052647A" w:rsidRDefault="006D0CC6" w:rsidP="0052647A">
    <w:pPr>
      <w:pStyle w:val="Header"/>
      <w:tabs>
        <w:tab w:val="clear" w:pos="9356"/>
        <w:tab w:val="right" w:pos="14601"/>
      </w:tabs>
      <w:jc w:val="left"/>
    </w:pPr>
    <w:r w:rsidRPr="001356C7">
      <w:rPr>
        <w:color w:val="004386"/>
      </w:rPr>
      <w:t>Face à quelle situation sommes-nous et quelles lois s'appliquent ?</w:t>
    </w:r>
    <w:r>
      <w:tab/>
      <w:t>Fiches à distribuer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A8F0B" w14:textId="77777777" w:rsidR="006D0CC6" w:rsidRPr="0052647A" w:rsidRDefault="006D0CC6" w:rsidP="0052647A">
    <w:pPr>
      <w:pStyle w:val="Header"/>
      <w:tabs>
        <w:tab w:val="clear" w:pos="9356"/>
        <w:tab w:val="right" w:pos="14601"/>
      </w:tabs>
      <w:jc w:val="left"/>
    </w:pPr>
    <w:r w:rsidRPr="001356C7">
      <w:rPr>
        <w:color w:val="004386"/>
      </w:rPr>
      <w:t>Vue d'ensemble : Sources de droit international pour la Charte humanitaire du Projet Sphère</w:t>
    </w:r>
    <w:r>
      <w:tab/>
      <w:t>Fiches à distribuer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E1AF1" w14:textId="77777777" w:rsidR="006D0CC6" w:rsidRPr="003E013F" w:rsidRDefault="006D0CC6" w:rsidP="00700614">
    <w:pPr>
      <w:pStyle w:val="Heading1"/>
      <w:tabs>
        <w:tab w:val="clear" w:pos="9356"/>
        <w:tab w:val="right" w:pos="14459"/>
      </w:tabs>
    </w:pPr>
    <w:r>
      <w:rPr>
        <w:b w:val="0"/>
        <w:bCs w:val="0"/>
      </w:rPr>
      <w:tab/>
    </w:r>
    <w:r w:rsidRPr="001356C7">
      <w:rPr>
        <w:color w:val="579305"/>
        <w:sz w:val="24"/>
        <w:szCs w:val="24"/>
      </w:rPr>
      <w:t>Fiches à distribuer</w:t>
    </w:r>
  </w:p>
  <w:p w14:paraId="3D1C87BC" w14:textId="77777777" w:rsidR="006D0CC6" w:rsidRPr="00792B8B" w:rsidRDefault="006D0CC6" w:rsidP="001356C7">
    <w:pPr>
      <w:pStyle w:val="Heading2"/>
      <w:pBdr>
        <w:bottom w:val="single" w:sz="4" w:space="4" w:color="004386"/>
      </w:pBdr>
      <w:spacing w:after="0"/>
    </w:pPr>
    <w:r>
      <w:rPr>
        <w:bCs w:val="0"/>
        <w:iCs/>
      </w:rPr>
      <w:t>Qu'est-ce que la Charte humanitaire et comment devriez-vous en parler dans votre travail 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F5C1E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3"/>
    <w:multiLevelType w:val="singleLevel"/>
    <w:tmpl w:val="C4D47E6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0"/>
      </w:rPr>
    </w:lvl>
  </w:abstractNum>
  <w:abstractNum w:abstractNumId="2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082DCA"/>
    <w:multiLevelType w:val="hybridMultilevel"/>
    <w:tmpl w:val="C1EAB630"/>
    <w:lvl w:ilvl="0" w:tplc="97CCFBDE">
      <w:start w:val="1"/>
      <w:numFmt w:val="bullet"/>
      <w:pStyle w:val="sub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5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0D7DD3"/>
    <w:multiLevelType w:val="hybridMultilevel"/>
    <w:tmpl w:val="0DC22FB2"/>
    <w:lvl w:ilvl="0" w:tplc="BD68BE1C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25672F"/>
    <w:multiLevelType w:val="hybridMultilevel"/>
    <w:tmpl w:val="5882EF42"/>
    <w:lvl w:ilvl="0" w:tplc="A6F0BB26">
      <w:start w:val="1"/>
      <w:numFmt w:val="bullet"/>
      <w:pStyle w:val="table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2"/>
  </w:num>
  <w:num w:numId="8">
    <w:abstractNumId w:val="13"/>
  </w:num>
  <w:num w:numId="9">
    <w:abstractNumId w:val="8"/>
  </w:num>
  <w:num w:numId="10">
    <w:abstractNumId w:val="11"/>
  </w:num>
  <w:num w:numId="11">
    <w:abstractNumId w:val="5"/>
  </w:num>
  <w:num w:numId="12">
    <w:abstractNumId w:val="10"/>
  </w:num>
  <w:num w:numId="13">
    <w:abstractNumId w:val="9"/>
  </w:num>
  <w:num w:numId="14">
    <w:abstractNumId w:val="6"/>
  </w:num>
  <w:num w:numId="15">
    <w:abstractNumId w:val="7"/>
  </w:num>
  <w:num w:numId="16">
    <w:abstractNumId w:val="6"/>
  </w:num>
  <w:num w:numId="17">
    <w:abstractNumId w:val="7"/>
  </w:num>
  <w:num w:numId="18">
    <w:abstractNumId w:val="12"/>
  </w:num>
  <w:num w:numId="19">
    <w:abstractNumId w:val="3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23E19"/>
    <w:rsid w:val="000765B7"/>
    <w:rsid w:val="000B47CB"/>
    <w:rsid w:val="000C131D"/>
    <w:rsid w:val="000F6307"/>
    <w:rsid w:val="0013229F"/>
    <w:rsid w:val="001356C7"/>
    <w:rsid w:val="00136D96"/>
    <w:rsid w:val="00144112"/>
    <w:rsid w:val="0015588F"/>
    <w:rsid w:val="00164B4E"/>
    <w:rsid w:val="0016592C"/>
    <w:rsid w:val="001713BA"/>
    <w:rsid w:val="001737A1"/>
    <w:rsid w:val="001740C0"/>
    <w:rsid w:val="00175CA3"/>
    <w:rsid w:val="001869EC"/>
    <w:rsid w:val="001C7F2F"/>
    <w:rsid w:val="001D0724"/>
    <w:rsid w:val="001D7A65"/>
    <w:rsid w:val="001E1BE3"/>
    <w:rsid w:val="001F455D"/>
    <w:rsid w:val="001F7F75"/>
    <w:rsid w:val="00200D4D"/>
    <w:rsid w:val="00205074"/>
    <w:rsid w:val="002201FF"/>
    <w:rsid w:val="00237D09"/>
    <w:rsid w:val="00241992"/>
    <w:rsid w:val="00252D08"/>
    <w:rsid w:val="00267AF2"/>
    <w:rsid w:val="00274BC6"/>
    <w:rsid w:val="002848CC"/>
    <w:rsid w:val="002933E5"/>
    <w:rsid w:val="002958E2"/>
    <w:rsid w:val="002D3B86"/>
    <w:rsid w:val="002E3832"/>
    <w:rsid w:val="002F2B87"/>
    <w:rsid w:val="0030064E"/>
    <w:rsid w:val="00314ADC"/>
    <w:rsid w:val="00315E11"/>
    <w:rsid w:val="00360466"/>
    <w:rsid w:val="00370153"/>
    <w:rsid w:val="003918D7"/>
    <w:rsid w:val="003A4483"/>
    <w:rsid w:val="003C27EC"/>
    <w:rsid w:val="003C469E"/>
    <w:rsid w:val="003C5331"/>
    <w:rsid w:val="003E013F"/>
    <w:rsid w:val="003E2279"/>
    <w:rsid w:val="003E2DB9"/>
    <w:rsid w:val="003F0EB3"/>
    <w:rsid w:val="004231C3"/>
    <w:rsid w:val="0043797B"/>
    <w:rsid w:val="0045590B"/>
    <w:rsid w:val="00463DB5"/>
    <w:rsid w:val="004B039C"/>
    <w:rsid w:val="004B1E51"/>
    <w:rsid w:val="004D06DD"/>
    <w:rsid w:val="004D7062"/>
    <w:rsid w:val="004F1D9A"/>
    <w:rsid w:val="004F4326"/>
    <w:rsid w:val="0050225B"/>
    <w:rsid w:val="00503BAD"/>
    <w:rsid w:val="0052647A"/>
    <w:rsid w:val="005751FD"/>
    <w:rsid w:val="005848E9"/>
    <w:rsid w:val="005A03D5"/>
    <w:rsid w:val="005F6AEE"/>
    <w:rsid w:val="00601FF7"/>
    <w:rsid w:val="00620E7C"/>
    <w:rsid w:val="0063519D"/>
    <w:rsid w:val="00637110"/>
    <w:rsid w:val="0064034C"/>
    <w:rsid w:val="00641C42"/>
    <w:rsid w:val="00690F64"/>
    <w:rsid w:val="006C099B"/>
    <w:rsid w:val="006D0CC6"/>
    <w:rsid w:val="006D149B"/>
    <w:rsid w:val="006E74C4"/>
    <w:rsid w:val="00700614"/>
    <w:rsid w:val="007030AE"/>
    <w:rsid w:val="00712B47"/>
    <w:rsid w:val="00714CE1"/>
    <w:rsid w:val="00715B1F"/>
    <w:rsid w:val="00715CA8"/>
    <w:rsid w:val="00731755"/>
    <w:rsid w:val="007464EA"/>
    <w:rsid w:val="007577CE"/>
    <w:rsid w:val="00761400"/>
    <w:rsid w:val="00775878"/>
    <w:rsid w:val="00781146"/>
    <w:rsid w:val="00792B8B"/>
    <w:rsid w:val="007A255B"/>
    <w:rsid w:val="007A4412"/>
    <w:rsid w:val="007A7ACB"/>
    <w:rsid w:val="007B3E00"/>
    <w:rsid w:val="007E479A"/>
    <w:rsid w:val="0080542F"/>
    <w:rsid w:val="00810AFF"/>
    <w:rsid w:val="00811B63"/>
    <w:rsid w:val="00816A31"/>
    <w:rsid w:val="00825D04"/>
    <w:rsid w:val="008260A5"/>
    <w:rsid w:val="008647F3"/>
    <w:rsid w:val="008652CA"/>
    <w:rsid w:val="0087787A"/>
    <w:rsid w:val="00886C42"/>
    <w:rsid w:val="00891199"/>
    <w:rsid w:val="008B4444"/>
    <w:rsid w:val="008B7D3C"/>
    <w:rsid w:val="008F7DE8"/>
    <w:rsid w:val="0090172B"/>
    <w:rsid w:val="0090692F"/>
    <w:rsid w:val="00925784"/>
    <w:rsid w:val="00937519"/>
    <w:rsid w:val="009516C3"/>
    <w:rsid w:val="00960AAF"/>
    <w:rsid w:val="00971AD2"/>
    <w:rsid w:val="00981544"/>
    <w:rsid w:val="0098193F"/>
    <w:rsid w:val="00995549"/>
    <w:rsid w:val="009C6C4F"/>
    <w:rsid w:val="009D6A86"/>
    <w:rsid w:val="009D7027"/>
    <w:rsid w:val="009E270C"/>
    <w:rsid w:val="009E4123"/>
    <w:rsid w:val="00A22040"/>
    <w:rsid w:val="00A362E5"/>
    <w:rsid w:val="00A46634"/>
    <w:rsid w:val="00A80DF5"/>
    <w:rsid w:val="00A93E89"/>
    <w:rsid w:val="00A95124"/>
    <w:rsid w:val="00AB088B"/>
    <w:rsid w:val="00AB1A94"/>
    <w:rsid w:val="00AD30D2"/>
    <w:rsid w:val="00AF36C0"/>
    <w:rsid w:val="00B40995"/>
    <w:rsid w:val="00B572C2"/>
    <w:rsid w:val="00B70E34"/>
    <w:rsid w:val="00B91AAC"/>
    <w:rsid w:val="00B97032"/>
    <w:rsid w:val="00BE3D5B"/>
    <w:rsid w:val="00BE6DD5"/>
    <w:rsid w:val="00C029AA"/>
    <w:rsid w:val="00C0309C"/>
    <w:rsid w:val="00C32D00"/>
    <w:rsid w:val="00C35B0F"/>
    <w:rsid w:val="00C507F3"/>
    <w:rsid w:val="00CA2260"/>
    <w:rsid w:val="00D064C5"/>
    <w:rsid w:val="00D221A6"/>
    <w:rsid w:val="00D34FFC"/>
    <w:rsid w:val="00D54219"/>
    <w:rsid w:val="00D90736"/>
    <w:rsid w:val="00DD0F73"/>
    <w:rsid w:val="00DE202F"/>
    <w:rsid w:val="00DE210D"/>
    <w:rsid w:val="00DE21D3"/>
    <w:rsid w:val="00DF2534"/>
    <w:rsid w:val="00E15219"/>
    <w:rsid w:val="00E2620E"/>
    <w:rsid w:val="00E26D30"/>
    <w:rsid w:val="00E71C66"/>
    <w:rsid w:val="00E8474E"/>
    <w:rsid w:val="00EA1F0B"/>
    <w:rsid w:val="00EB14C9"/>
    <w:rsid w:val="00EE535D"/>
    <w:rsid w:val="00F25952"/>
    <w:rsid w:val="00F51600"/>
    <w:rsid w:val="00F52152"/>
    <w:rsid w:val="00F564E6"/>
    <w:rsid w:val="00F66ABC"/>
    <w:rsid w:val="00F67F82"/>
    <w:rsid w:val="00F97BB3"/>
    <w:rsid w:val="00FA7F78"/>
    <w:rsid w:val="00FB3F41"/>
    <w:rsid w:val="00FC3D52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9D4DFA0"/>
  <w15:docId w15:val="{3BCEC27B-7393-4DF6-89B4-00BC626EA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C029AA"/>
    <w:pPr>
      <w:spacing w:before="60"/>
    </w:pPr>
    <w:rPr>
      <w:bCs/>
      <w:sz w:val="22"/>
      <w:szCs w:val="24"/>
      <w:lang w:val="fr-FR"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891199"/>
    <w:pPr>
      <w:keepNext/>
      <w:tabs>
        <w:tab w:val="right" w:pos="9356"/>
      </w:tabs>
      <w:spacing w:before="0"/>
      <w:outlineLvl w:val="0"/>
    </w:pPr>
    <w:rPr>
      <w:rFonts w:ascii="Tahoma" w:eastAsia="MS PGothic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231C3"/>
    <w:pPr>
      <w:spacing w:before="160" w:after="400"/>
      <w:outlineLvl w:val="1"/>
    </w:pPr>
    <w:rPr>
      <w:rFonts w:cs="Arial"/>
      <w:b w:val="0"/>
      <w:i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5848E9"/>
    <w:pPr>
      <w:spacing w:after="0"/>
      <w:outlineLvl w:val="2"/>
    </w:pPr>
    <w:rPr>
      <w:b/>
      <w:i w:val="0"/>
      <w:sz w:val="22"/>
      <w:szCs w:val="24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F51600"/>
    <w:pPr>
      <w:keepLines/>
      <w:spacing w:after="160"/>
      <w:outlineLvl w:val="3"/>
    </w:pPr>
    <w:rPr>
      <w:rFonts w:cs="Times New Roman"/>
    </w:rPr>
  </w:style>
  <w:style w:type="paragraph" w:styleId="Heading5">
    <w:name w:val="heading 5"/>
    <w:basedOn w:val="Normal"/>
    <w:next w:val="Normal"/>
    <w:link w:val="Heading5Char"/>
    <w:qFormat/>
    <w:rsid w:val="00C029AA"/>
    <w:pPr>
      <w:spacing w:before="100"/>
      <w:outlineLvl w:val="4"/>
    </w:pPr>
    <w:rPr>
      <w:b/>
      <w:iCs/>
      <w:color w:val="00438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link w:val="Heading1"/>
    <w:rsid w:val="00891199"/>
    <w:rPr>
      <w:rFonts w:ascii="Tahoma" w:eastAsia="MS PGothic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link w:val="Heading2"/>
    <w:rsid w:val="004231C3"/>
    <w:rPr>
      <w:rFonts w:ascii="Tahoma" w:eastAsia="MS PGothic" w:hAnsi="Tahoma" w:cs="Arial"/>
      <w:bCs/>
      <w:i/>
      <w:color w:val="004386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link w:val="Heading3"/>
    <w:rsid w:val="005848E9"/>
    <w:rPr>
      <w:rFonts w:ascii="Tahoma" w:eastAsia="MS PGothic" w:hAnsi="Tahoma" w:cs="Arial"/>
      <w:b/>
      <w:bCs/>
      <w:color w:val="004386"/>
      <w:kern w:val="32"/>
      <w:sz w:val="22"/>
      <w:szCs w:val="24"/>
      <w:lang w:val="en-GB" w:eastAsia="es-ES"/>
    </w:rPr>
  </w:style>
  <w:style w:type="character" w:customStyle="1" w:styleId="Heading4Char">
    <w:name w:val="Heading 4 Char"/>
    <w:aliases w:val="h4 Char"/>
    <w:link w:val="Heading4"/>
    <w:uiPriority w:val="9"/>
    <w:rsid w:val="00F51600"/>
    <w:rPr>
      <w:rFonts w:ascii="Tahoma" w:eastAsia="MS PGothic" w:hAnsi="Tahoma" w:cs="Times New Roman"/>
      <w:b/>
      <w:bCs/>
      <w:color w:val="004386"/>
      <w:kern w:val="32"/>
      <w:sz w:val="24"/>
      <w:szCs w:val="24"/>
      <w:lang w:val="en-GB" w:eastAsia="es-ES"/>
    </w:rPr>
  </w:style>
  <w:style w:type="character" w:customStyle="1" w:styleId="Heading5Char">
    <w:name w:val="Heading 5 Char"/>
    <w:link w:val="Heading5"/>
    <w:rsid w:val="00C029AA"/>
    <w:rPr>
      <w:b/>
      <w:bCs/>
      <w:iCs/>
      <w:color w:val="004386"/>
      <w:sz w:val="22"/>
      <w:szCs w:val="26"/>
      <w:lang w:val="fr-FR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205074"/>
    <w:pPr>
      <w:spacing w:before="0" w:after="200"/>
    </w:pPr>
    <w:rPr>
      <w:rFonts w:eastAsia="Calibri"/>
      <w:b/>
      <w:color w:val="579305"/>
      <w:sz w:val="18"/>
      <w:szCs w:val="18"/>
      <w:lang w:eastAsia="en-US"/>
    </w:rPr>
  </w:style>
  <w:style w:type="character" w:styleId="Emphasis">
    <w:name w:val="Emphasis"/>
    <w:qFormat/>
    <w:rsid w:val="00205074"/>
    <w:rPr>
      <w:b/>
      <w:i w:val="0"/>
      <w:iCs/>
    </w:rPr>
  </w:style>
  <w:style w:type="table" w:styleId="TableGrid">
    <w:name w:val="Table Grid"/>
    <w:basedOn w:val="TableNormal"/>
    <w:uiPriority w:val="59"/>
    <w:rsid w:val="0020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205074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074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05074"/>
    <w:rPr>
      <w:rFonts w:cs="Tahoma"/>
      <w:bCs/>
      <w:sz w:val="16"/>
      <w:szCs w:val="16"/>
      <w:lang w:val="en-US" w:eastAsia="es-ES"/>
    </w:rPr>
  </w:style>
  <w:style w:type="paragraph" w:customStyle="1" w:styleId="table">
    <w:name w:val="table"/>
    <w:aliases w:val="t"/>
    <w:basedOn w:val="Normal"/>
    <w:qFormat/>
    <w:rsid w:val="00D34FFC"/>
    <w:pPr>
      <w:spacing w:after="120"/>
    </w:pPr>
  </w:style>
  <w:style w:type="paragraph" w:customStyle="1" w:styleId="tableheading">
    <w:name w:val="table heading"/>
    <w:aliases w:val="th"/>
    <w:basedOn w:val="table"/>
    <w:qFormat/>
    <w:rsid w:val="00F25952"/>
    <w:pPr>
      <w:keepNext/>
    </w:pPr>
    <w:rPr>
      <w:rFonts w:ascii="Tahoma" w:hAnsi="Tahoma"/>
      <w:b/>
      <w:color w:val="004386"/>
      <w:sz w:val="20"/>
      <w:szCs w:val="22"/>
    </w:rPr>
  </w:style>
  <w:style w:type="paragraph" w:customStyle="1" w:styleId="bullet">
    <w:name w:val="bullet"/>
    <w:aliases w:val="b"/>
    <w:basedOn w:val="Normal"/>
    <w:qFormat/>
    <w:rsid w:val="00712B47"/>
    <w:pPr>
      <w:numPr>
        <w:numId w:val="16"/>
      </w:numPr>
      <w:spacing w:before="40"/>
    </w:pPr>
  </w:style>
  <w:style w:type="paragraph" w:customStyle="1" w:styleId="tablebullet">
    <w:name w:val="table bullet"/>
    <w:aliases w:val="tb"/>
    <w:basedOn w:val="table"/>
    <w:qFormat/>
    <w:rsid w:val="00205074"/>
    <w:pPr>
      <w:numPr>
        <w:numId w:val="17"/>
      </w:numPr>
      <w:ind w:left="284" w:hanging="284"/>
    </w:pPr>
  </w:style>
  <w:style w:type="paragraph" w:styleId="Header">
    <w:name w:val="header"/>
    <w:basedOn w:val="Normal"/>
    <w:link w:val="HeaderChar"/>
    <w:uiPriority w:val="99"/>
    <w:unhideWhenUsed/>
    <w:rsid w:val="00891199"/>
    <w:pPr>
      <w:pBdr>
        <w:bottom w:val="single" w:sz="4" w:space="4" w:color="004386"/>
      </w:pBdr>
      <w:tabs>
        <w:tab w:val="right" w:pos="9356"/>
      </w:tabs>
      <w:spacing w:before="0"/>
      <w:jc w:val="right"/>
    </w:pPr>
    <w:rPr>
      <w:rFonts w:ascii="Tahoma" w:hAnsi="Tahoma" w:cs="Tahoma"/>
      <w:b/>
      <w:color w:val="579305"/>
      <w:sz w:val="24"/>
    </w:rPr>
  </w:style>
  <w:style w:type="character" w:customStyle="1" w:styleId="HeaderChar">
    <w:name w:val="Header Char"/>
    <w:link w:val="Header"/>
    <w:uiPriority w:val="99"/>
    <w:rsid w:val="00891199"/>
    <w:rPr>
      <w:rFonts w:ascii="Tahoma" w:hAnsi="Tahoma" w:cs="Tahoma"/>
      <w:b/>
      <w:bCs/>
      <w:color w:val="579305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uiPriority w:val="99"/>
    <w:unhideWhenUsed/>
    <w:rsid w:val="00F51600"/>
    <w:pPr>
      <w:pBdr>
        <w:top w:val="single" w:sz="4" w:space="4" w:color="004386"/>
      </w:pBdr>
      <w:tabs>
        <w:tab w:val="right" w:pos="9356"/>
      </w:tabs>
      <w:spacing w:before="0"/>
    </w:pPr>
    <w:rPr>
      <w:rFonts w:ascii="Tahoma" w:hAnsi="Tahoma" w:cs="Tahoma"/>
      <w:color w:val="004386"/>
      <w:sz w:val="18"/>
      <w:szCs w:val="18"/>
    </w:rPr>
  </w:style>
  <w:style w:type="character" w:customStyle="1" w:styleId="FooterChar">
    <w:name w:val="Footer Char"/>
    <w:link w:val="Footer"/>
    <w:uiPriority w:val="99"/>
    <w:rsid w:val="00F51600"/>
    <w:rPr>
      <w:rFonts w:ascii="Tahoma" w:hAnsi="Tahoma" w:cs="Tahoma"/>
      <w:bCs/>
      <w:color w:val="004386"/>
      <w:sz w:val="18"/>
      <w:szCs w:val="18"/>
      <w:lang w:val="en-US" w:eastAsia="es-ES"/>
    </w:rPr>
  </w:style>
  <w:style w:type="character" w:styleId="PageNumber">
    <w:name w:val="page number"/>
    <w:uiPriority w:val="99"/>
    <w:semiHidden/>
    <w:unhideWhenUsed/>
    <w:rsid w:val="00205074"/>
    <w:rPr>
      <w:rFonts w:ascii="Calibri" w:hAnsi="Calibri"/>
    </w:rPr>
  </w:style>
  <w:style w:type="character" w:styleId="FollowedHyperlink">
    <w:name w:val="FollowedHyperlink"/>
    <w:uiPriority w:val="99"/>
    <w:semiHidden/>
    <w:unhideWhenUsed/>
    <w:rsid w:val="00205074"/>
    <w:rPr>
      <w:color w:val="004386"/>
      <w:u w:val="single"/>
    </w:rPr>
  </w:style>
  <w:style w:type="paragraph" w:customStyle="1" w:styleId="subbullet">
    <w:name w:val="sub bullet"/>
    <w:aliases w:val="s"/>
    <w:basedOn w:val="Normal"/>
    <w:qFormat/>
    <w:rsid w:val="00DE202F"/>
    <w:pPr>
      <w:numPr>
        <w:numId w:val="19"/>
      </w:numPr>
      <w:ind w:left="568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12B47"/>
    <w:pPr>
      <w:keepLines/>
      <w:spacing w:before="0"/>
    </w:pPr>
    <w:rPr>
      <w:rFonts w:eastAsia="MS PGothic"/>
      <w:bCs w:val="0"/>
      <w:sz w:val="20"/>
      <w:lang w:eastAsia="en-US"/>
    </w:rPr>
  </w:style>
  <w:style w:type="character" w:customStyle="1" w:styleId="FootnoteTextChar">
    <w:name w:val="Footnote Text Char"/>
    <w:link w:val="FootnoteText"/>
    <w:uiPriority w:val="99"/>
    <w:semiHidden/>
    <w:rsid w:val="00712B47"/>
    <w:rPr>
      <w:rFonts w:eastAsia="MS PGothic"/>
      <w:szCs w:val="24"/>
      <w:lang w:val="en-GB"/>
    </w:rPr>
  </w:style>
  <w:style w:type="character" w:styleId="FootnoteReference">
    <w:name w:val="footnote reference"/>
    <w:uiPriority w:val="99"/>
    <w:unhideWhenUsed/>
    <w:rsid w:val="00267AF2"/>
    <w:rPr>
      <w:vertAlign w:val="superscript"/>
    </w:rPr>
  </w:style>
  <w:style w:type="character" w:styleId="CommentReference">
    <w:name w:val="annotation reference"/>
    <w:uiPriority w:val="99"/>
    <w:semiHidden/>
    <w:unhideWhenUsed/>
    <w:rsid w:val="00F564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4E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564E6"/>
    <w:rPr>
      <w:bCs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4E6"/>
    <w:rPr>
      <w:b/>
    </w:rPr>
  </w:style>
  <w:style w:type="character" w:customStyle="1" w:styleId="CommentSubjectChar">
    <w:name w:val="Comment Subject Char"/>
    <w:link w:val="CommentSubject"/>
    <w:uiPriority w:val="99"/>
    <w:semiHidden/>
    <w:rsid w:val="00F564E6"/>
    <w:rPr>
      <w:b/>
      <w:bCs/>
      <w:lang w:val="en-GB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18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hchr.org/Documents/Publications/FAQ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4186</CharactersWithSpaces>
  <SharedDoc>false</SharedDoc>
  <HLinks>
    <vt:vector size="6" baseType="variant">
      <vt:variant>
        <vt:i4>5636218</vt:i4>
      </vt:variant>
      <vt:variant>
        <vt:i4>0</vt:i4>
      </vt:variant>
      <vt:variant>
        <vt:i4>0</vt:i4>
      </vt:variant>
      <vt:variant>
        <vt:i4>5</vt:i4>
      </vt:variant>
      <vt:variant>
        <vt:lpwstr>http://www.ohchr.org/Documents/Publications/FAQen.pdf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CeciliaFurtade</cp:lastModifiedBy>
  <cp:revision>2</cp:revision>
  <cp:lastPrinted>2015-01-05T10:17:00Z</cp:lastPrinted>
  <dcterms:created xsi:type="dcterms:W3CDTF">2015-02-09T18:01:00Z</dcterms:created>
  <dcterms:modified xsi:type="dcterms:W3CDTF">2015-02-09T18:01:00Z</dcterms:modified>
</cp:coreProperties>
</file>